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22872E2C"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981FCE">
        <w:rPr>
          <w:rFonts w:eastAsia="Courier"/>
        </w:rPr>
        <w:t>Jupiter</w:t>
      </w:r>
      <w:r w:rsidR="002E2EEE">
        <w:rPr>
          <w:rFonts w:eastAsia="Courier"/>
        </w:rPr>
        <w:t xml:space="preserve"> Encounter </w:t>
      </w:r>
      <w:r w:rsidR="002D4B3E">
        <w:rPr>
          <w:rFonts w:eastAsia="Courier"/>
        </w:rPr>
        <w:t xml:space="preserve">Raw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30461FD7"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w:t>
      </w:r>
      <w:r w:rsidR="00981FCE">
        <w:t>JUPITER</w:t>
      </w:r>
      <w:r>
        <w:t xml:space="preserve"> </w:t>
      </w:r>
      <w:r w:rsidR="00981FCE">
        <w:t>e</w:t>
      </w:r>
      <w:r w:rsidR="00FC22AE">
        <w:t>ncounter</w:t>
      </w:r>
      <w:r>
        <w:t xml:space="preserve"> mission phase.</w:t>
      </w:r>
    </w:p>
    <w:p w14:paraId="00BD71E0" w14:textId="4C95B14D" w:rsidR="00981FCE" w:rsidRDefault="00981FCE" w:rsidP="00981FCE">
      <w:r>
        <w:t xml:space="preserve">SDC did not collect science data during the Jupiter flyby, as the requisite spacecraft configuration prevented SDC from operating. There were some very sparse data taken from </w:t>
      </w:r>
      <w:proofErr w:type="gramStart"/>
      <w:r>
        <w:t>December,</w:t>
      </w:r>
      <w:proofErr w:type="gramEnd"/>
      <w:r>
        <w:t xml:space="preserve"> 2006 through </w:t>
      </w:r>
      <w:proofErr w:type="gramStart"/>
      <w:r>
        <w:t>April,</w:t>
      </w:r>
      <w:proofErr w:type="gramEnd"/>
      <w:r>
        <w:t xml:space="preserve"> 2007, and some of very short (or zero) duration data acquired after the Jupiter flyby from </w:t>
      </w:r>
      <w:proofErr w:type="gramStart"/>
      <w:r>
        <w:t>April,</w:t>
      </w:r>
      <w:proofErr w:type="gramEnd"/>
      <w:r>
        <w:t xml:space="preserve"> 2007 through </w:t>
      </w:r>
      <w:proofErr w:type="gramStart"/>
      <w:r>
        <w:t>June,</w:t>
      </w:r>
      <w:proofErr w:type="gramEnd"/>
      <w:r>
        <w:t xml:space="preserve"> 2007.</w:t>
      </w:r>
    </w:p>
    <w:p w14:paraId="5E075F0B" w14:textId="544ABF89"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6B524A88" w14:textId="25698BB7" w:rsidR="00927B08" w:rsidRDefault="00927B08" w:rsidP="00981FCE">
      <w:r>
        <w:t>There were no new observations added with this version.</w:t>
      </w:r>
    </w:p>
    <w:p w14:paraId="142252D6" w14:textId="0177701D" w:rsidR="00A83503" w:rsidRDefault="00A83503" w:rsidP="00FC22AE">
      <w:r>
        <w:t xml:space="preserve">These data were migrated from the previously released PDS3 data set </w:t>
      </w:r>
      <w:r w:rsidR="00B82881">
        <w:t>NH-</w:t>
      </w:r>
      <w:r w:rsidR="00981FCE">
        <w:t>J</w:t>
      </w:r>
      <w:r w:rsidR="00B82881">
        <w:t>-SDC-</w:t>
      </w:r>
      <w:r>
        <w:t>2-</w:t>
      </w:r>
      <w:r w:rsidR="00981FCE">
        <w:t>JUPITER</w:t>
      </w:r>
      <w:r>
        <w:t>-V</w:t>
      </w:r>
      <w:r w:rsidR="00981FCE">
        <w:t>4</w:t>
      </w:r>
      <w:r>
        <w:t>.0.</w:t>
      </w:r>
    </w:p>
    <w:p w14:paraId="459E5524" w14:textId="317F986E" w:rsidR="00842B8D" w:rsidRDefault="00842B8D" w:rsidP="002B1F3E">
      <w:pPr>
        <w:pStyle w:val="Heading1"/>
        <w:rPr>
          <w:rFonts w:eastAsia="Courier"/>
        </w:rPr>
      </w:pPr>
      <w:r>
        <w:rPr>
          <w:rFonts w:eastAsia="Courier"/>
        </w:rPr>
        <w:t>Data Set Overview</w:t>
      </w:r>
    </w:p>
    <w:p w14:paraId="11CDAAD6" w14:textId="444524CD"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w:t>
      </w:r>
      <w:r w:rsidR="00981FCE">
        <w:t>JUPITER e</w:t>
      </w:r>
      <w:r w:rsidR="00FC0F84">
        <w:t xml:space="preserve">ncounter </w:t>
      </w:r>
      <w:r>
        <w:t>mission phase.</w:t>
      </w:r>
      <w:r w:rsidR="00AA1375">
        <w:t xml:space="preserve">  </w:t>
      </w:r>
    </w:p>
    <w:p w14:paraId="56334D22" w14:textId="2FF6AE59"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6F45FE61"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lastRenderedPageBreak/>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B3CBF1B"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24AF3685" w14:textId="77777777" w:rsidR="00291011" w:rsidRDefault="00291011" w:rsidP="00291011">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757005F8" w14:textId="071A167F" w:rsidR="00981FCE" w:rsidRDefault="00981FCE" w:rsidP="00247B3D">
      <w:r>
        <w:t xml:space="preserve">SDC did not collect science data during the Jupiter flyby, as the requisite spacecraft configuration prevented SDC from operating. There were some very sparse data taken from </w:t>
      </w:r>
      <w:proofErr w:type="gramStart"/>
      <w:r>
        <w:t>December,</w:t>
      </w:r>
      <w:proofErr w:type="gramEnd"/>
      <w:r>
        <w:t xml:space="preserve"> 2006 through </w:t>
      </w:r>
      <w:proofErr w:type="gramStart"/>
      <w:r>
        <w:t>April,</w:t>
      </w:r>
      <w:proofErr w:type="gramEnd"/>
      <w:r>
        <w:t xml:space="preserve"> 2007, and some of very short (or zero) duration data acquired after the Jupiter flyby from </w:t>
      </w:r>
      <w:proofErr w:type="gramStart"/>
      <w:r>
        <w:t>April,</w:t>
      </w:r>
      <w:proofErr w:type="gramEnd"/>
      <w:r>
        <w:t xml:space="preserve"> 2007 through </w:t>
      </w:r>
      <w:proofErr w:type="gramStart"/>
      <w:r>
        <w:t>June,</w:t>
      </w:r>
      <w:proofErr w:type="gramEnd"/>
      <w:r>
        <w:t xml:space="preserve"> 2007.</w:t>
      </w:r>
    </w:p>
    <w:p w14:paraId="0A8BA1C1" w14:textId="34C06B79" w:rsidR="00247B3D" w:rsidRDefault="00981FCE" w:rsidP="00247B3D">
      <w:r>
        <w:t>No instrument</w:t>
      </w:r>
      <w:r w:rsidR="00247B3D">
        <w:t xml:space="preserve"> </w:t>
      </w:r>
      <w:r>
        <w:t xml:space="preserve">observing </w:t>
      </w:r>
      <w:r w:rsidR="00247B3D">
        <w:t>sequence</w:t>
      </w:r>
      <w:r>
        <w:t>s were planned or implemented for this phase of the mission</w:t>
      </w:r>
      <w:r w:rsidR="00247B3D">
        <w:t xml:space="preserve">.  </w:t>
      </w:r>
      <w:r>
        <w:t>The placeholder</w:t>
      </w:r>
      <w:r w:rsidR="00247B3D">
        <w:t xml:space="preserve"> sequence</w:t>
      </w:r>
      <w:r>
        <w:t xml:space="preserve"> document</w:t>
      </w:r>
      <w:r w:rsidR="00247B3D">
        <w:t xml:space="preserve"> can be found in the SDC document collection under PDS4 LID </w:t>
      </w:r>
      <w:proofErr w:type="spellStart"/>
      <w:proofErr w:type="gramStart"/>
      <w:r w:rsidR="00247B3D" w:rsidRPr="008947C5">
        <w:rPr>
          <w:rStyle w:val="FixedWidthChar"/>
        </w:rPr>
        <w:t>urn:nasa</w:t>
      </w:r>
      <w:proofErr w:type="gramEnd"/>
      <w:r w:rsidR="00247B3D" w:rsidRPr="008947C5">
        <w:rPr>
          <w:rStyle w:val="FixedWidthChar"/>
        </w:rPr>
        <w:t>:</w:t>
      </w:r>
      <w:proofErr w:type="gramStart"/>
      <w:r w:rsidR="00247B3D" w:rsidRPr="008947C5">
        <w:rPr>
          <w:rStyle w:val="FixedWidthChar"/>
        </w:rPr>
        <w:t>pds:nh</w:t>
      </w:r>
      <w:proofErr w:type="gramEnd"/>
      <w:r w:rsidR="00247B3D" w:rsidRPr="008947C5">
        <w:rPr>
          <w:rStyle w:val="FixedWidthChar"/>
        </w:rPr>
        <w:t>_</w:t>
      </w:r>
      <w:proofErr w:type="gramStart"/>
      <w:r w:rsidR="00247B3D" w:rsidRPr="008947C5">
        <w:rPr>
          <w:rStyle w:val="FixedWidthChar"/>
        </w:rPr>
        <w:t>documents:</w:t>
      </w:r>
      <w:r w:rsidR="00247B3D">
        <w:rPr>
          <w:rStyle w:val="FixedWidthChar"/>
        </w:rPr>
        <w:t>sdc</w:t>
      </w:r>
      <w:proofErr w:type="gramEnd"/>
      <w:r w:rsidR="00247B3D" w:rsidRPr="008947C5">
        <w:rPr>
          <w:rStyle w:val="FixedWidthChar"/>
        </w:rPr>
        <w:t>:seq_</w:t>
      </w:r>
      <w:r w:rsidR="00247B3D">
        <w:rPr>
          <w:rStyle w:val="FixedWidthChar"/>
        </w:rPr>
        <w:t>sdc</w:t>
      </w:r>
      <w:r w:rsidR="00247B3D" w:rsidRPr="008947C5">
        <w:rPr>
          <w:rStyle w:val="FixedWidthChar"/>
        </w:rPr>
        <w:t>_</w:t>
      </w:r>
      <w:r>
        <w:rPr>
          <w:rStyle w:val="FixedWidthChar"/>
        </w:rPr>
        <w:t>jupiter</w:t>
      </w:r>
      <w:proofErr w:type="spellEnd"/>
      <w:r w:rsidR="00247B3D">
        <w:t xml:space="preserve">.  </w:t>
      </w:r>
    </w:p>
    <w:p w14:paraId="2F45D940" w14:textId="1BFDDBD7" w:rsidR="00291011" w:rsidRDefault="00291011" w:rsidP="00291011">
      <w:r>
        <w:t xml:space="preserve">As a result of thruster-induced events, many SDC detector channels are switched off during some spacecraft maneuvers by autonomy processing, for prolonged periods. Autonomy rules can also affect SDC threshold settings; threshold settings are designed to keep the SDC detection limit above a noise floor. Refer to </w:t>
      </w:r>
      <w:proofErr w:type="spellStart"/>
      <w:r>
        <w:t>Horanyi</w:t>
      </w:r>
      <w:proofErr w:type="spellEnd"/>
      <w:r>
        <w:t xml:space="preserve"> et al. (2008) for descriptions of the SDC autonomy rules, threshold parameters, and how they affect instrument behavior and recorded data.  </w:t>
      </w:r>
    </w:p>
    <w:p w14:paraId="25AC3455" w14:textId="77777777" w:rsidR="00291011" w:rsidRDefault="00291011" w:rsidP="00291011">
      <w:r>
        <w:t xml:space="preserve">During spacecraft checkout activities in the first six months of the Post-LAUNCH Checkout mission phase, spacecraft activity was </w:t>
      </w:r>
      <w:proofErr w:type="gramStart"/>
      <w:r>
        <w:t>high</w:t>
      </w:r>
      <w:proofErr w:type="gramEnd"/>
      <w:r>
        <w:t xml:space="preserve">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5A6070AD" w14:textId="77777777" w:rsidR="00291011" w:rsidRPr="00E5491D" w:rsidRDefault="00291011" w:rsidP="00291011">
      <w:pPr>
        <w:rPr>
          <w:rFonts w:ascii="Courier Prime" w:hAnsi="Courier Prime"/>
          <w:sz w:val="20"/>
        </w:rPr>
      </w:pPr>
      <w:r>
        <w:lastRenderedPageBreak/>
        <w:t xml:space="preserve">All per-channel off and on transitions, whether initiated by autonomy or by spacecraft on/off commands to the entire instrument, are recorded for the entire mission in a table that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Pr>
          <w:rStyle w:val="FixedWidthChar"/>
        </w:rPr>
        <w:t>:sdc_on_off_times_alt</w:t>
      </w:r>
      <w:proofErr w:type="spellEnd"/>
      <w:r>
        <w:rPr>
          <w:rStyle w:val="FixedWidthChar"/>
        </w:rPr>
        <w:t>.</w:t>
      </w:r>
      <w:r>
        <w:t xml:space="preserve"> The high frequency of off/on transitions, as described in the previous paragraph, is apparent in this table.</w:t>
      </w:r>
    </w:p>
    <w:p w14:paraId="20E5E9C4" w14:textId="74E7819F" w:rsidR="00291011" w:rsidRDefault="00291011" w:rsidP="00247B3D">
      <w:r>
        <w:t xml:space="preserve">N.B. The duration of the off, as well as the on, periods must be considered in making any calculation of average dust detection event rates.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A5D7CD6" w:rsidR="002B1F3E" w:rsidRDefault="002B1F3E" w:rsidP="002B1F3E">
      <w:pPr>
        <w:pStyle w:val="Heading2"/>
        <w:rPr>
          <w:rFonts w:eastAsia="Courier"/>
        </w:rPr>
      </w:pPr>
      <w:r>
        <w:rPr>
          <w:rFonts w:eastAsia="Courier"/>
        </w:rPr>
        <w:t>PDS4 v1.0 (migration from PDS3 V</w:t>
      </w:r>
      <w:r w:rsidR="00981FCE">
        <w:rPr>
          <w:rFonts w:eastAsia="Courier"/>
        </w:rPr>
        <w:t>4</w:t>
      </w:r>
      <w:r>
        <w:rPr>
          <w:rFonts w:eastAsia="Courier"/>
        </w:rPr>
        <w:t>.0)</w:t>
      </w:r>
    </w:p>
    <w:p w14:paraId="4D1E8697" w14:textId="55DD8E5D"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81FCE">
        <w:t>4</w:t>
      </w:r>
      <w:r>
        <w:t>.0 data set are</w:t>
      </w:r>
      <w:r w:rsidRPr="002B1F3E">
        <w:t>:</w:t>
      </w:r>
    </w:p>
    <w:p w14:paraId="3B98263F" w14:textId="77777777" w:rsidR="009F5AB9" w:rsidRDefault="009F5AB9" w:rsidP="009F5AB9">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7000FF5" w14:textId="77777777" w:rsidR="009F5AB9" w:rsidRDefault="009F5AB9" w:rsidP="009F5AB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38711860" w14:textId="77777777" w:rsidR="009F5AB9" w:rsidRDefault="009F5AB9" w:rsidP="009F5AB9">
      <w:pPr>
        <w:pStyle w:val="ListParagraph"/>
        <w:numPr>
          <w:ilvl w:val="0"/>
          <w:numId w:val="2"/>
        </w:numPr>
      </w:pPr>
      <w:r>
        <w:t>The purpose for all data in this phase was changed from science to calibration.</w:t>
      </w:r>
    </w:p>
    <w:p w14:paraId="72EB7818" w14:textId="77777777" w:rsidR="009F5AB9" w:rsidRDefault="009F5AB9" w:rsidP="009F5AB9">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47C98D2C" w14:textId="392348FD" w:rsidR="00291011" w:rsidRPr="00291011" w:rsidRDefault="00291011" w:rsidP="00291011">
      <w:pPr>
        <w:pStyle w:val="Heading2"/>
        <w:rPr>
          <w:rFonts w:eastAsia="Courier"/>
        </w:rPr>
      </w:pPr>
      <w:r w:rsidRPr="00981FCE">
        <w:rPr>
          <w:rFonts w:eastAsia="Courier"/>
        </w:rPr>
        <w:t>PDS3 V4.0 (NH-J-SDC-2-</w:t>
      </w:r>
      <w:r>
        <w:rPr>
          <w:rFonts w:eastAsia="Courier"/>
        </w:rPr>
        <w:t>JUPITER</w:t>
      </w:r>
      <w:r w:rsidRPr="00981FCE">
        <w:rPr>
          <w:rFonts w:eastAsia="Courier"/>
        </w:rPr>
        <w:t>-V4.0</w:t>
      </w:r>
      <w:r>
        <w:rPr>
          <w:rFonts w:eastAsia="Courier"/>
        </w:rPr>
        <w:t>)</w:t>
      </w:r>
    </w:p>
    <w:p w14:paraId="6238DEE3" w14:textId="3E435BBD" w:rsidR="00291011" w:rsidRDefault="00291011" w:rsidP="00291011">
      <w:r w:rsidRPr="00981FCE">
        <w:t xml:space="preserve">This is VERSION </w:t>
      </w:r>
      <w:r>
        <w:t>4</w:t>
      </w:r>
      <w:r w:rsidRPr="00981FCE">
        <w:t xml:space="preserve">.0 of this data set. The pipeline (see Processing below) was re-run on these data </w:t>
      </w:r>
      <w:r>
        <w:t xml:space="preserve">and </w:t>
      </w:r>
      <w:r w:rsidRPr="00981FCE">
        <w:t>for each</w:t>
      </w:r>
      <w:r>
        <w:t xml:space="preserve"> </w:t>
      </w:r>
      <w:r w:rsidRPr="00981FCE">
        <w:t>version since the first (</w:t>
      </w:r>
      <w:r>
        <w:t xml:space="preserve">PDS3 </w:t>
      </w:r>
      <w:r w:rsidRPr="00981FCE">
        <w:t>V1.0</w:t>
      </w:r>
      <w:r>
        <w:t>).</w:t>
      </w:r>
    </w:p>
    <w:p w14:paraId="236E38B2" w14:textId="7D7B8F4E" w:rsidR="00291011" w:rsidRDefault="00291011" w:rsidP="00291011">
      <w:r w:rsidRPr="00981FCE">
        <w:t xml:space="preserve">The previous delivery (V3.0)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(from August, 201</w:t>
      </w:r>
      <w:r w:rsidR="008938B4">
        <w:t>4</w:t>
      </w:r>
      <w:r w:rsidRPr="00981FCE">
        <w:t xml:space="preserve"> through January, 201</w:t>
      </w:r>
      <w:r w:rsidR="008938B4">
        <w:t>5</w:t>
      </w:r>
      <w:r w:rsidRPr="00981FCE">
        <w:t>) before all of those liens were resolved, those data sets were left as is, with those</w:t>
      </w:r>
      <w:r>
        <w:t xml:space="preserve"> </w:t>
      </w:r>
      <w:r w:rsidRPr="00981FCE">
        <w:t>liens folded into the newer data sets.  The same path was chosen for this data set.</w:t>
      </w:r>
      <w:r>
        <w:t xml:space="preserve"> V4.0 is ultimately lien resolved.</w:t>
      </w:r>
    </w:p>
    <w:p w14:paraId="683BA367" w14:textId="64C9FBEE" w:rsidR="00291011" w:rsidRDefault="00291011" w:rsidP="00291011">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w:t>
      </w:r>
      <w:r w:rsidRPr="00981FCE">
        <w:lastRenderedPageBreak/>
        <w:t>data if parameters such as the velocity or orientation of the target relative to the</w:t>
      </w:r>
      <w:r>
        <w:t xml:space="preserve"> </w:t>
      </w:r>
      <w:r w:rsidRPr="00981FCE">
        <w:t>instrument, or the recorded target itself, have changed.</w:t>
      </w:r>
      <w:r>
        <w:t xml:space="preserve"> </w:t>
      </w:r>
      <w:r w:rsidRPr="00981FCE">
        <w:t>No new observations were added with Version 4.0</w:t>
      </w:r>
      <w:r>
        <w:t>.</w:t>
      </w:r>
    </w:p>
    <w:p w14:paraId="29CA28F7" w14:textId="6F78F1FF" w:rsidR="00981FCE" w:rsidRPr="00013F56" w:rsidRDefault="00981FCE" w:rsidP="00981FCE">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Raw SDC </w:t>
      </w:r>
      <w:r>
        <w:t>JUPITER</w:t>
      </w:r>
      <w:r w:rsidRPr="00600B17">
        <w:t xml:space="preserve"> ENCOUNTER V</w:t>
      </w:r>
      <w:r>
        <w:t>4</w:t>
      </w:r>
      <w:r w:rsidRPr="00600B17">
        <w:t>.0, NH-</w:t>
      </w:r>
      <w:r>
        <w:t>J</w:t>
      </w:r>
      <w:r w:rsidRPr="00600B17">
        <w:t>-SDC-2-</w:t>
      </w:r>
      <w:r>
        <w:t>JUPITER</w:t>
      </w:r>
      <w:r w:rsidRPr="00600B17">
        <w:t>-V</w:t>
      </w:r>
      <w:r>
        <w:t>4</w:t>
      </w:r>
      <w:r w:rsidRPr="00600B17">
        <w:t>.0, NASA Planetary Data System, 201</w:t>
      </w:r>
      <w:r>
        <w:t>7.</w:t>
      </w:r>
      <w:r w:rsidR="00230CBE">
        <w:t xml:space="preserve"> </w:t>
      </w:r>
      <w:hyperlink r:id="rId9" w:history="1">
        <w:r w:rsidR="00230CBE" w:rsidRPr="00230CBE">
          <w:rPr>
            <w:rStyle w:val="Hyperlink"/>
          </w:rPr>
          <w:t>https://doi.org/10.26007/02b6-rm36</w:t>
        </w:r>
      </w:hyperlink>
    </w:p>
    <w:p w14:paraId="1607701B" w14:textId="2D495950" w:rsidR="002B1F3E" w:rsidRPr="00981FCE" w:rsidRDefault="002B1F3E" w:rsidP="00981FCE">
      <w:pPr>
        <w:pStyle w:val="Heading2"/>
        <w:rPr>
          <w:rFonts w:ascii="Courier" w:eastAsia="Courier" w:hAnsi="Courier" w:cs="Courier"/>
          <w:sz w:val="20"/>
          <w:szCs w:val="20"/>
        </w:rPr>
      </w:pPr>
      <w:r w:rsidRPr="00981FCE">
        <w:rPr>
          <w:rFonts w:eastAsia="Courier"/>
        </w:rPr>
        <w:t>PDS3 V3.0 (</w:t>
      </w:r>
      <w:r w:rsidR="00A06DB9" w:rsidRPr="00981FCE">
        <w:rPr>
          <w:rFonts w:eastAsia="Courier"/>
        </w:rPr>
        <w:t>NH-</w:t>
      </w:r>
      <w:r w:rsidR="00981FCE" w:rsidRPr="00981FCE">
        <w:rPr>
          <w:rFonts w:eastAsia="Courier"/>
        </w:rPr>
        <w:t>J</w:t>
      </w:r>
      <w:r w:rsidR="00A06DB9" w:rsidRPr="00981FCE">
        <w:rPr>
          <w:rFonts w:eastAsia="Courier"/>
        </w:rPr>
        <w:t>-SDC-2-</w:t>
      </w:r>
      <w:r w:rsidR="00981FCE">
        <w:rPr>
          <w:rFonts w:eastAsia="Courier"/>
        </w:rPr>
        <w:t>JUPITER</w:t>
      </w:r>
      <w:r w:rsidR="00A06DB9" w:rsidRPr="00981FCE">
        <w:rPr>
          <w:rFonts w:eastAsia="Courier"/>
        </w:rPr>
        <w:t>-V</w:t>
      </w:r>
      <w:r w:rsidRPr="00981FCE">
        <w:rPr>
          <w:rFonts w:eastAsia="Courier"/>
        </w:rPr>
        <w:t>3.0)</w:t>
      </w:r>
    </w:p>
    <w:p w14:paraId="65658962" w14:textId="77777777" w:rsidR="00981FCE" w:rsidRDefault="00BE2DBC" w:rsidP="00981FCE">
      <w:r w:rsidRPr="00BE2DBC">
        <w:t>This is VERSION 3.0 of this data set.</w:t>
      </w:r>
      <w:r>
        <w:t xml:space="preserve"> </w:t>
      </w:r>
      <w:r w:rsidR="00981FCE">
        <w:t>Updates were made to the electronics box temperature calibration and the full calibration, including all model parameters and coefficients, is described in James et al. (2010).</w:t>
      </w:r>
    </w:p>
    <w:p w14:paraId="0282850B" w14:textId="7064ABA4" w:rsidR="00981FCE" w:rsidRDefault="00981FCE" w:rsidP="00981FCE">
      <w:r>
        <w:t xml:space="preserve">Additionally, the dust impact velocity calculation was updated to use the Ecliptic J2000 reference frame, instead of the Earth Mean frame, to estimate Keplerian orbits; this was a small correction as the spacecraft trajectory is generally near the line to the first point of Aries.  </w:t>
      </w:r>
    </w:p>
    <w:p w14:paraId="6BB114E4" w14:textId="6119AE95" w:rsidR="008B659B" w:rsidRDefault="00981FCE" w:rsidP="00981FCE">
      <w:r>
        <w:t xml:space="preserve">The stimulus calibration table was added and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w:t>
      </w:r>
      <w:r>
        <w:rPr>
          <w:rStyle w:val="FixedWidthChar"/>
        </w:rPr>
        <w:t>sdc_stim</w:t>
      </w:r>
      <w:proofErr w:type="spellEnd"/>
      <w:r>
        <w:t xml:space="preserve">, so the user can assess when these operations may have generated false positive events.  </w:t>
      </w:r>
    </w:p>
    <w:p w14:paraId="4FF04CF2" w14:textId="525696F9"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Raw SDC </w:t>
      </w:r>
      <w:r w:rsidR="00981FCE">
        <w:t>JUPITER</w:t>
      </w:r>
      <w:r w:rsidR="00600B17" w:rsidRPr="00600B17">
        <w:t xml:space="preserve"> ENCOUNTER V3.0, NH-</w:t>
      </w:r>
      <w:r w:rsidR="00981FCE">
        <w:t>J</w:t>
      </w:r>
      <w:r w:rsidR="00600B17" w:rsidRPr="00600B17">
        <w:t>-SDC-2-</w:t>
      </w:r>
      <w:r w:rsidR="00981FCE">
        <w:t>JUPITER</w:t>
      </w:r>
      <w:r w:rsidR="00600B17" w:rsidRPr="00600B17">
        <w:t>-V3.0, NASA Planetary Data System, 201</w:t>
      </w:r>
      <w:r w:rsidR="00981FCE">
        <w:t>4</w:t>
      </w:r>
      <w:r w:rsidR="00600B17">
        <w:t>.</w:t>
      </w:r>
    </w:p>
    <w:p w14:paraId="740295C7" w14:textId="14C7CA57" w:rsidR="002B1F3E" w:rsidRPr="0069626C" w:rsidRDefault="002B1F3E" w:rsidP="002B1F3E">
      <w:pPr>
        <w:pStyle w:val="Heading2"/>
        <w:rPr>
          <w:rFonts w:ascii="Courier" w:eastAsia="Courier" w:hAnsi="Courier" w:cs="Courier"/>
          <w:sz w:val="20"/>
          <w:szCs w:val="20"/>
        </w:rPr>
      </w:pPr>
      <w:r w:rsidRPr="0069626C">
        <w:rPr>
          <w:rFonts w:eastAsia="Courier"/>
        </w:rPr>
        <w:t>PDS3 V2.0 (</w:t>
      </w:r>
      <w:r w:rsidR="00A06DB9" w:rsidRPr="0069626C">
        <w:rPr>
          <w:rFonts w:eastAsia="Courier"/>
        </w:rPr>
        <w:t>NH-</w:t>
      </w:r>
      <w:r w:rsidR="0069626C" w:rsidRPr="0069626C">
        <w:rPr>
          <w:rFonts w:eastAsia="Courier"/>
        </w:rPr>
        <w:t>J</w:t>
      </w:r>
      <w:r w:rsidR="00A06DB9" w:rsidRPr="0069626C">
        <w:rPr>
          <w:rFonts w:eastAsia="Courier"/>
        </w:rPr>
        <w:t>-SDC-2-</w:t>
      </w:r>
      <w:r w:rsidR="0069626C">
        <w:rPr>
          <w:rFonts w:eastAsia="Courier"/>
        </w:rPr>
        <w:t>JUPITER</w:t>
      </w:r>
      <w:r w:rsidR="00A06DB9" w:rsidRPr="0069626C">
        <w:rPr>
          <w:rFonts w:eastAsia="Courier"/>
        </w:rPr>
        <w:t>-V</w:t>
      </w:r>
      <w:r w:rsidRPr="0069626C">
        <w:rPr>
          <w:rFonts w:eastAsia="Courier"/>
        </w:rPr>
        <w:t>2.0)</w:t>
      </w:r>
    </w:p>
    <w:p w14:paraId="019E1249" w14:textId="314B7BA6" w:rsidR="00981FCE" w:rsidRDefault="00BE2DBC" w:rsidP="00981FCE">
      <w:r w:rsidRPr="00BE2DBC">
        <w:t xml:space="preserve">This is VERSION </w:t>
      </w:r>
      <w:r>
        <w:t>2</w:t>
      </w:r>
      <w:r w:rsidRPr="00BE2DBC">
        <w:t>.0 of this data set.</w:t>
      </w:r>
      <w:r>
        <w:t xml:space="preserve"> </w:t>
      </w:r>
      <w:r w:rsidR="00981FCE">
        <w:t xml:space="preserve">The data files look the same, including the data formats.  The changes were improvements to the processing code. There were 3 changes made to the code: </w:t>
      </w:r>
    </w:p>
    <w:p w14:paraId="4BBEC43B" w14:textId="37D349E6" w:rsidR="00981FCE" w:rsidRPr="00981FCE" w:rsidRDefault="00981FCE" w:rsidP="00981FCE">
      <w:pPr>
        <w:rPr>
          <w:u w:val="single"/>
        </w:rPr>
      </w:pPr>
      <w:r>
        <w:t xml:space="preserve">      </w:t>
      </w:r>
      <w:r w:rsidRPr="00981FCE">
        <w:rPr>
          <w:u w:val="single"/>
        </w:rPr>
        <w:t xml:space="preserve">Change to dust impact velocity assumption  </w:t>
      </w:r>
    </w:p>
    <w:p w14:paraId="3D80BBFE" w14:textId="3FC6D80B" w:rsidR="00981FCE" w:rsidRDefault="00981FCE" w:rsidP="00981FCE">
      <w:r>
        <w:t xml:space="preserve">      An assumption is needed for the dust impact velocity to calculate its mass.  Before this update the pipeline used only the normal component of the total velocity between the dust and instrument (assuming the particle is in Keplerian orbit).  Now this has been changed to the total relative velocity of the particle (still assumed to be in Keplerian orbit) and the instrument.  </w:t>
      </w:r>
    </w:p>
    <w:p w14:paraId="4FC78052" w14:textId="4A5AEF85" w:rsidR="00981FCE" w:rsidRPr="00981FCE" w:rsidRDefault="00981FCE" w:rsidP="00981FCE">
      <w:pPr>
        <w:rPr>
          <w:u w:val="single"/>
        </w:rPr>
      </w:pPr>
      <w:r>
        <w:t xml:space="preserve">      </w:t>
      </w:r>
      <w:r w:rsidRPr="00981FCE">
        <w:rPr>
          <w:u w:val="single"/>
        </w:rPr>
        <w:t xml:space="preserve">Using multiple thermistors for per-channel temperature correction </w:t>
      </w:r>
    </w:p>
    <w:p w14:paraId="4BB90A21" w14:textId="1DA38CC6" w:rsidR="00981FCE" w:rsidRDefault="00981FCE" w:rsidP="00981FCE">
      <w:r>
        <w:t xml:space="preserve">      There are two thermistors on the analog board; those analog board temperatures are used for calibrating all channels on the board. Before this update, for a given channel the temperature of the closest thermistor to that channel (nearest neighbor interpolation).  For this update and later, a linear fit to the temperatures is used, based on the relative positions of the thermistors and channels (linear interpolation).  </w:t>
      </w:r>
    </w:p>
    <w:p w14:paraId="7EE1C0B2" w14:textId="265C3809" w:rsidR="00981FCE" w:rsidRPr="00981FCE" w:rsidRDefault="00981FCE" w:rsidP="00981FCE">
      <w:pPr>
        <w:rPr>
          <w:u w:val="single"/>
        </w:rPr>
      </w:pPr>
      <w:r>
        <w:t xml:space="preserve">      </w:t>
      </w:r>
      <w:r w:rsidRPr="00981FCE">
        <w:rPr>
          <w:u w:val="single"/>
        </w:rPr>
        <w:t xml:space="preserve">New charge-velocity-mass calibration curve  </w:t>
      </w:r>
    </w:p>
    <w:p w14:paraId="63C358F9" w14:textId="04525C74" w:rsidR="00981FCE" w:rsidRDefault="00981FCE" w:rsidP="00981FCE">
      <w:r>
        <w:t xml:space="preserve">      The calibrated data contains the mass of the particle.  The charge to mass curve used to be: </w:t>
      </w:r>
    </w:p>
    <w:p w14:paraId="7A3E0070" w14:textId="66B18B81" w:rsidR="00981FCE" w:rsidRDefault="00981FCE" w:rsidP="00981FCE">
      <w:pPr>
        <w:ind w:firstLine="720"/>
      </w:pPr>
      <w:r>
        <w:t xml:space="preserve">Q=3.18E17*m^1.3*v^3.0 </w:t>
      </w:r>
    </w:p>
    <w:p w14:paraId="4F730FC4" w14:textId="757B8E73" w:rsidR="00981FCE" w:rsidRDefault="00981FCE" w:rsidP="00981FCE">
      <w:r>
        <w:lastRenderedPageBreak/>
        <w:t xml:space="preserve">where m is the mass, Q is the charge and v </w:t>
      </w:r>
      <w:proofErr w:type="gramStart"/>
      <w:r>
        <w:t>is</w:t>
      </w:r>
      <w:proofErr w:type="gramEnd"/>
      <w:r>
        <w:t xml:space="preserve"> the relative speed. This was the Simpson-Tuzzolino curve.  The new curve is a function of detector temperature as well:  </w:t>
      </w:r>
    </w:p>
    <w:p w14:paraId="2C51CC8B" w14:textId="2014BF66" w:rsidR="00981FCE" w:rsidRDefault="00981FCE" w:rsidP="00981FCE">
      <w:pPr>
        <w:ind w:firstLine="720"/>
      </w:pPr>
      <w:r>
        <w:t>Q=(1.15E15+6.75E12*</w:t>
      </w:r>
      <w:proofErr w:type="gramStart"/>
      <w:r>
        <w:t>T)*</w:t>
      </w:r>
      <w:proofErr w:type="gramEnd"/>
      <w:r>
        <w:t xml:space="preserve">m^1.052*v^2.883 </w:t>
      </w:r>
    </w:p>
    <w:p w14:paraId="59D30112" w14:textId="77777777" w:rsidR="00981FCE" w:rsidRDefault="00981FCE" w:rsidP="00981FCE">
      <w:r>
        <w:t>where T is the temperature. A paper with this new calibration curve was published in James et al. (2010).</w:t>
      </w:r>
    </w:p>
    <w:p w14:paraId="20BFE013" w14:textId="1A803CD6"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Raw SDC </w:t>
      </w:r>
      <w:r w:rsidR="00981FCE">
        <w:t>JUPITER</w:t>
      </w:r>
      <w:r w:rsidR="00600B17" w:rsidRPr="00600B17">
        <w:t xml:space="preserve"> ENCOUNTER V2.0, NH-</w:t>
      </w:r>
      <w:r w:rsidR="00981FCE">
        <w:t>J</w:t>
      </w:r>
      <w:r w:rsidR="00600B17" w:rsidRPr="00600B17">
        <w:t>-SDC-2-</w:t>
      </w:r>
      <w:r w:rsidR="00981FCE">
        <w:t>JUPITER</w:t>
      </w:r>
      <w:r w:rsidR="00600B17" w:rsidRPr="00600B17">
        <w:t>-V2.0, NASA Planetary Data System, 20</w:t>
      </w:r>
      <w:r w:rsidR="00981FCE">
        <w:t>07</w:t>
      </w:r>
      <w:r w:rsidR="00600B17" w:rsidRPr="00600B17">
        <w:t>.</w:t>
      </w:r>
    </w:p>
    <w:p w14:paraId="7C547C07" w14:textId="735ABB35" w:rsidR="002B1F3E" w:rsidRPr="00073122" w:rsidRDefault="002B1F3E" w:rsidP="002B1F3E">
      <w:pPr>
        <w:pStyle w:val="Heading2"/>
        <w:rPr>
          <w:rFonts w:ascii="Courier" w:eastAsia="Courier" w:hAnsi="Courier" w:cs="Courier"/>
          <w:sz w:val="20"/>
          <w:szCs w:val="20"/>
        </w:rPr>
      </w:pPr>
      <w:r w:rsidRPr="00073122">
        <w:rPr>
          <w:rFonts w:eastAsia="Courier"/>
        </w:rPr>
        <w:t>PDS3 V1.0 (</w:t>
      </w:r>
      <w:r w:rsidR="00A06DB9" w:rsidRPr="00073122">
        <w:rPr>
          <w:rFonts w:eastAsia="Courier"/>
        </w:rPr>
        <w:t>NH-</w:t>
      </w:r>
      <w:r w:rsidR="00073122" w:rsidRPr="00073122">
        <w:rPr>
          <w:rFonts w:eastAsia="Courier"/>
        </w:rPr>
        <w:t>J</w:t>
      </w:r>
      <w:r w:rsidR="00A06DB9" w:rsidRPr="00073122">
        <w:rPr>
          <w:rFonts w:eastAsia="Courier"/>
        </w:rPr>
        <w:t>-SDC-2-</w:t>
      </w:r>
      <w:r w:rsidR="00073122">
        <w:rPr>
          <w:rFonts w:eastAsia="Courier"/>
        </w:rPr>
        <w:t>JUPITER</w:t>
      </w:r>
      <w:r w:rsidR="00A06DB9" w:rsidRPr="00073122">
        <w:rPr>
          <w:rFonts w:eastAsia="Courier"/>
        </w:rPr>
        <w:t>-V</w:t>
      </w:r>
      <w:r w:rsidRPr="00073122">
        <w:rPr>
          <w:rFonts w:eastAsia="Courier"/>
        </w:rPr>
        <w:t>1.0)</w:t>
      </w:r>
    </w:p>
    <w:p w14:paraId="310FF4F3" w14:textId="0FA16289" w:rsidR="004A7E11" w:rsidRDefault="00BE2DBC" w:rsidP="00E14562">
      <w:r w:rsidRPr="00BE2DBC">
        <w:t>This is VERSION 1.0 of this data set.</w:t>
      </w:r>
      <w:r w:rsidR="005F03A5">
        <w:t xml:space="preserve"> </w:t>
      </w:r>
      <w:r w:rsidR="00981FCE">
        <w:t>This is the first SDC delivery for the Jupiter encounter mission phase.</w:t>
      </w:r>
      <w:r w:rsidR="005F03A5">
        <w:t xml:space="preserve"> </w:t>
      </w:r>
    </w:p>
    <w:p w14:paraId="75AF5CDA" w14:textId="723572A9"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Raw SDC </w:t>
      </w:r>
      <w:r w:rsidR="00981FCE">
        <w:t>JUPITER</w:t>
      </w:r>
      <w:r w:rsidR="00981FCE" w:rsidRPr="00600B17">
        <w:t xml:space="preserve"> ENCOUNTER V</w:t>
      </w:r>
      <w:r w:rsidR="00981FCE">
        <w:t>1</w:t>
      </w:r>
      <w:r w:rsidR="00981FCE" w:rsidRPr="00600B17">
        <w:t>.0, NH-</w:t>
      </w:r>
      <w:r w:rsidR="00981FCE">
        <w:t>J</w:t>
      </w:r>
      <w:r w:rsidR="00981FCE" w:rsidRPr="00600B17">
        <w:t>-SDC-2-</w:t>
      </w:r>
      <w:r w:rsidR="00981FCE">
        <w:t>JUPITER</w:t>
      </w:r>
      <w:r w:rsidR="00981FCE" w:rsidRPr="00600B17">
        <w:t>-V</w:t>
      </w:r>
      <w:r w:rsidR="00981FCE">
        <w:t>1</w:t>
      </w:r>
      <w:r w:rsidR="00981FCE" w:rsidRPr="00600B17">
        <w:t>.0, NASA Planetary Data System, 20</w:t>
      </w:r>
      <w:r w:rsidR="00981FCE">
        <w:t>07</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D677DD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46531C9C"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lastRenderedPageBreak/>
        <w:t>Data</w:t>
      </w:r>
    </w:p>
    <w:p w14:paraId="2AE573AA" w14:textId="0F2FDEB5"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5A730A76"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4454E345"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64B5B536"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981FCE">
        <w:rPr>
          <w:rStyle w:val="FixedWidthChar"/>
        </w:rPr>
        <w:t>jupiter</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10"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1"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3D49B154"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641BC405"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183BF2AC"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6FE2B10D"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E43322">
        <w:rPr>
          <w:rStyle w:val="FixedWidthChar"/>
        </w:rPr>
        <w:t>jupiter</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684D69BC"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675072">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0200EEE7"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69515EC"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0D4FC877" w14:textId="3076F533" w:rsidR="00E43322" w:rsidRDefault="00E43322" w:rsidP="00E43322">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w:t>
      </w:r>
      <w:r>
        <w:t>Jupiter</w:t>
      </w:r>
      <w:r w:rsidRPr="007C455B">
        <w:t xml:space="preserve"> mission phase, instead of the </w:t>
      </w:r>
      <w:r>
        <w:t>target name</w:t>
      </w:r>
      <w:r w:rsidRPr="007C455B">
        <w:t xml:space="preserve"> '</w:t>
      </w:r>
      <w:r>
        <w:t>J2 EUROPA</w:t>
      </w:r>
      <w:r w:rsidRPr="007C455B">
        <w:t xml:space="preserve">' there might be found any of the </w:t>
      </w:r>
      <w:r w:rsidRPr="007C455B">
        <w:lastRenderedPageBreak/>
        <w:t xml:space="preserve">following:  </w:t>
      </w:r>
      <w:r>
        <w:t>J2 EUROPA; EUROPA</w:t>
      </w:r>
      <w:r w:rsidRPr="007C455B">
        <w:t>; J</w:t>
      </w:r>
      <w:r>
        <w:t>2</w:t>
      </w:r>
      <w:r w:rsidRPr="007C455B">
        <w:t>. However, within the context of this data set, these project abbreviations are not ambiguous (e.g. there is only one NH target with '</w:t>
      </w:r>
      <w:r>
        <w:t>J2</w:t>
      </w:r>
      <w:r w:rsidRPr="007C455B">
        <w:t>'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2"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7D1C7488" w14:textId="77777777" w:rsidR="00291011" w:rsidRDefault="00291011" w:rsidP="00291011">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3" w:history="1">
        <w:r w:rsidRPr="008D468B">
          <w:rPr>
            <w:rStyle w:val="Hyperlink"/>
          </w:rPr>
          <w:t>https://doi.org/10.1007/s11214-007-9250-y</w:t>
        </w:r>
      </w:hyperlink>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4"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5" w:history="1">
        <w:r w:rsidRPr="00207888">
          <w:rPr>
            <w:rStyle w:val="Hyperlink"/>
          </w:rPr>
          <w:t>https://doi.org/10.17189/1520109</w:t>
        </w:r>
      </w:hyperlink>
    </w:p>
    <w:p w14:paraId="13BBE31A" w14:textId="77777777" w:rsidR="004147BB" w:rsidRDefault="004147BB" w:rsidP="00B82881"/>
    <w:sectPr w:rsidR="004147BB" w:rsidSect="00847CA0">
      <w:footerReference w:type="default" r:id="rId16"/>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B4B7" w14:textId="77777777" w:rsidR="00026A6D" w:rsidRDefault="00026A6D" w:rsidP="00D80940">
      <w:pPr>
        <w:spacing w:after="0"/>
      </w:pPr>
      <w:r>
        <w:separator/>
      </w:r>
    </w:p>
  </w:endnote>
  <w:endnote w:type="continuationSeparator" w:id="0">
    <w:p w14:paraId="2BB496F1" w14:textId="77777777" w:rsidR="00026A6D" w:rsidRDefault="00026A6D"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B6DD" w14:textId="77777777" w:rsidR="00026A6D" w:rsidRDefault="00026A6D" w:rsidP="00D80940">
      <w:pPr>
        <w:spacing w:after="0"/>
      </w:pPr>
      <w:r>
        <w:separator/>
      </w:r>
    </w:p>
  </w:footnote>
  <w:footnote w:type="continuationSeparator" w:id="0">
    <w:p w14:paraId="4584D339" w14:textId="77777777" w:rsidR="00026A6D" w:rsidRDefault="00026A6D"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26A6D"/>
    <w:rsid w:val="0003349B"/>
    <w:rsid w:val="000521F1"/>
    <w:rsid w:val="00073122"/>
    <w:rsid w:val="00081279"/>
    <w:rsid w:val="001170E4"/>
    <w:rsid w:val="00123C8B"/>
    <w:rsid w:val="00130D4D"/>
    <w:rsid w:val="0014548C"/>
    <w:rsid w:val="001A0E36"/>
    <w:rsid w:val="001A2908"/>
    <w:rsid w:val="001A5C03"/>
    <w:rsid w:val="001E5F24"/>
    <w:rsid w:val="001F2296"/>
    <w:rsid w:val="002049B3"/>
    <w:rsid w:val="0021026A"/>
    <w:rsid w:val="00226037"/>
    <w:rsid w:val="00230CBE"/>
    <w:rsid w:val="002431C6"/>
    <w:rsid w:val="00245654"/>
    <w:rsid w:val="00247B3D"/>
    <w:rsid w:val="00261EEB"/>
    <w:rsid w:val="002649CB"/>
    <w:rsid w:val="002651B1"/>
    <w:rsid w:val="0026761E"/>
    <w:rsid w:val="0027167B"/>
    <w:rsid w:val="00291011"/>
    <w:rsid w:val="002918D5"/>
    <w:rsid w:val="002A3B2B"/>
    <w:rsid w:val="002B1F3E"/>
    <w:rsid w:val="002B3C63"/>
    <w:rsid w:val="002D4B3E"/>
    <w:rsid w:val="002E2EEE"/>
    <w:rsid w:val="003442F2"/>
    <w:rsid w:val="003675E0"/>
    <w:rsid w:val="00381F5C"/>
    <w:rsid w:val="003942F7"/>
    <w:rsid w:val="0039708C"/>
    <w:rsid w:val="003B18D9"/>
    <w:rsid w:val="003C084E"/>
    <w:rsid w:val="004147BB"/>
    <w:rsid w:val="00422BC4"/>
    <w:rsid w:val="00434622"/>
    <w:rsid w:val="00436981"/>
    <w:rsid w:val="00460A92"/>
    <w:rsid w:val="004A7E11"/>
    <w:rsid w:val="004D5482"/>
    <w:rsid w:val="004D75ED"/>
    <w:rsid w:val="004F4CB2"/>
    <w:rsid w:val="00503098"/>
    <w:rsid w:val="00503F69"/>
    <w:rsid w:val="005157EA"/>
    <w:rsid w:val="00515CA6"/>
    <w:rsid w:val="00574E13"/>
    <w:rsid w:val="00592975"/>
    <w:rsid w:val="00595A90"/>
    <w:rsid w:val="005A4FEC"/>
    <w:rsid w:val="005D2FF0"/>
    <w:rsid w:val="005F03A5"/>
    <w:rsid w:val="005F077C"/>
    <w:rsid w:val="005F412D"/>
    <w:rsid w:val="00600B17"/>
    <w:rsid w:val="0062178C"/>
    <w:rsid w:val="00675072"/>
    <w:rsid w:val="0068327B"/>
    <w:rsid w:val="00692D17"/>
    <w:rsid w:val="0069626C"/>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38B4"/>
    <w:rsid w:val="008943A0"/>
    <w:rsid w:val="008947C5"/>
    <w:rsid w:val="008948D3"/>
    <w:rsid w:val="00896D6A"/>
    <w:rsid w:val="008A1459"/>
    <w:rsid w:val="008B659B"/>
    <w:rsid w:val="008C71A2"/>
    <w:rsid w:val="008F120C"/>
    <w:rsid w:val="00907722"/>
    <w:rsid w:val="0091248A"/>
    <w:rsid w:val="00927B08"/>
    <w:rsid w:val="00975F7F"/>
    <w:rsid w:val="00981D28"/>
    <w:rsid w:val="00981FCE"/>
    <w:rsid w:val="009A059F"/>
    <w:rsid w:val="009A1063"/>
    <w:rsid w:val="009B3F5D"/>
    <w:rsid w:val="009B7609"/>
    <w:rsid w:val="009C6C6A"/>
    <w:rsid w:val="009F5AB9"/>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03627"/>
    <w:rsid w:val="00B14DA2"/>
    <w:rsid w:val="00B537E3"/>
    <w:rsid w:val="00B72A72"/>
    <w:rsid w:val="00B82881"/>
    <w:rsid w:val="00BA6C9B"/>
    <w:rsid w:val="00BC7CAC"/>
    <w:rsid w:val="00BE2DBC"/>
    <w:rsid w:val="00BF5FC4"/>
    <w:rsid w:val="00BF785B"/>
    <w:rsid w:val="00C16A41"/>
    <w:rsid w:val="00C201EC"/>
    <w:rsid w:val="00C3059C"/>
    <w:rsid w:val="00C61EE2"/>
    <w:rsid w:val="00C866EF"/>
    <w:rsid w:val="00D04FE9"/>
    <w:rsid w:val="00D13904"/>
    <w:rsid w:val="00D14A76"/>
    <w:rsid w:val="00D80940"/>
    <w:rsid w:val="00D93631"/>
    <w:rsid w:val="00D94C1B"/>
    <w:rsid w:val="00DB70D2"/>
    <w:rsid w:val="00DB7EE5"/>
    <w:rsid w:val="00DC0813"/>
    <w:rsid w:val="00DC3237"/>
    <w:rsid w:val="00DE0962"/>
    <w:rsid w:val="00E14562"/>
    <w:rsid w:val="00E417A7"/>
    <w:rsid w:val="00E43322"/>
    <w:rsid w:val="00E46168"/>
    <w:rsid w:val="00E91457"/>
    <w:rsid w:val="00EA581D"/>
    <w:rsid w:val="00EC7795"/>
    <w:rsid w:val="00EE1209"/>
    <w:rsid w:val="00EE182B"/>
    <w:rsid w:val="00F02ACE"/>
    <w:rsid w:val="00F35AE6"/>
    <w:rsid w:val="00F45E5A"/>
    <w:rsid w:val="00F5572A"/>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214-007-9250-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26/science.aad90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5" Type="http://schemas.openxmlformats.org/officeDocument/2006/relationships/hyperlink" Target="https://doi.org/10.17189/1520109" TargetMode="Externa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26007/02b6-rm36" TargetMode="External"/><Relationship Id="rId14" Type="http://schemas.openxmlformats.org/officeDocument/2006/relationships/hyperlink" Target="https://doi.org/10.1063/1.3340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11</Pages>
  <Words>4510</Words>
  <Characters>24721</Characters>
  <Application>Microsoft Office Word</Application>
  <DocSecurity>0</DocSecurity>
  <Lines>457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74</cp:revision>
  <cp:lastPrinted>2024-04-03T13:53:00Z</cp:lastPrinted>
  <dcterms:created xsi:type="dcterms:W3CDTF">2023-12-13T19:38:00Z</dcterms:created>
  <dcterms:modified xsi:type="dcterms:W3CDTF">2026-02-25T16:04:00Z</dcterms:modified>
</cp:coreProperties>
</file>